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B95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COLLEGIO DEI REVISORI DEI CONTI </w:t>
      </w:r>
    </w:p>
    <w:p w:rsidR="00C25B95" w:rsidRDefault="00C25B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Verbale n</w:t>
      </w:r>
      <w:r w:rsidR="00F31CC0">
        <w:rPr>
          <w:rFonts w:ascii="Arial" w:hAnsi="Arial" w:cs="Arial"/>
          <w:b/>
          <w:bCs/>
        </w:rPr>
        <w:t xml:space="preserve"> </w:t>
      </w:r>
      <w:r w:rsidR="002321B0">
        <w:rPr>
          <w:rFonts w:ascii="Arial" w:hAnsi="Arial" w:cs="Arial"/>
          <w:b/>
          <w:bCs/>
        </w:rPr>
        <w:t>13</w:t>
      </w:r>
      <w:r w:rsidR="005A4E7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del</w:t>
      </w:r>
      <w:r w:rsidR="005A4E75">
        <w:rPr>
          <w:rFonts w:ascii="Arial" w:hAnsi="Arial" w:cs="Arial"/>
          <w:b/>
          <w:bCs/>
        </w:rPr>
        <w:t xml:space="preserve"> </w:t>
      </w:r>
      <w:r w:rsidR="00D109EC">
        <w:rPr>
          <w:rFonts w:ascii="Arial" w:hAnsi="Arial" w:cs="Arial"/>
          <w:b/>
          <w:bCs/>
        </w:rPr>
        <w:t>19 luglio 2017</w:t>
      </w:r>
    </w:p>
    <w:p w:rsidR="00C25B95" w:rsidRDefault="00C25B9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COMUNE DI </w:t>
      </w:r>
      <w:r w:rsidR="00893920">
        <w:rPr>
          <w:rFonts w:ascii="Arial" w:hAnsi="Arial" w:cs="Arial"/>
          <w:b/>
          <w:bCs/>
        </w:rPr>
        <w:t>CASTELLARANO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A4E7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Oggetto:</w:t>
      </w:r>
      <w:r w:rsidR="003660A6">
        <w:rPr>
          <w:rFonts w:ascii="Arial" w:hAnsi="Arial" w:cs="Arial"/>
          <w:b/>
        </w:rPr>
        <w:t xml:space="preserve"> Parere su salvaguardia degli equilibri di bilancio e assestamento generale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PREMESSA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data </w:t>
      </w:r>
      <w:r w:rsidR="00D109EC">
        <w:rPr>
          <w:rFonts w:ascii="Arial" w:hAnsi="Arial" w:cs="Arial"/>
        </w:rPr>
        <w:t>29</w:t>
      </w:r>
      <w:r w:rsidR="003C3884">
        <w:rPr>
          <w:rFonts w:ascii="Arial" w:hAnsi="Arial" w:cs="Arial"/>
        </w:rPr>
        <w:t xml:space="preserve"> marzo </w:t>
      </w:r>
      <w:r>
        <w:rPr>
          <w:rFonts w:ascii="Arial" w:hAnsi="Arial" w:cs="Arial"/>
        </w:rPr>
        <w:t>201</w:t>
      </w:r>
      <w:r w:rsidR="00D109EC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il Consiglio Comunale ha approvato il bilancio di </w:t>
      </w:r>
      <w:r w:rsidR="007317E1">
        <w:rPr>
          <w:rFonts w:ascii="Arial" w:hAnsi="Arial" w:cs="Arial"/>
        </w:rPr>
        <w:t>previsione 2017-2019</w:t>
      </w:r>
      <w:r w:rsidR="003C3884">
        <w:rPr>
          <w:rFonts w:ascii="Arial" w:hAnsi="Arial" w:cs="Arial"/>
        </w:rPr>
        <w:t xml:space="preserve"> verbale n. 4 del </w:t>
      </w:r>
      <w:r w:rsidR="00D109EC">
        <w:rPr>
          <w:rFonts w:ascii="Arial" w:hAnsi="Arial" w:cs="Arial"/>
        </w:rPr>
        <w:t>17 marzo 2017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data </w:t>
      </w:r>
      <w:r w:rsidR="00D109EC">
        <w:rPr>
          <w:rFonts w:ascii="Arial" w:hAnsi="Arial" w:cs="Arial"/>
        </w:rPr>
        <w:t xml:space="preserve">28 </w:t>
      </w:r>
      <w:r w:rsidR="003C3884">
        <w:rPr>
          <w:rFonts w:ascii="Arial" w:hAnsi="Arial" w:cs="Arial"/>
        </w:rPr>
        <w:t xml:space="preserve">aprile </w:t>
      </w:r>
      <w:r w:rsidR="00D109EC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il Consiglio Comunale</w:t>
      </w:r>
      <w:r w:rsidR="00D109EC">
        <w:rPr>
          <w:rFonts w:ascii="Arial" w:hAnsi="Arial" w:cs="Arial"/>
        </w:rPr>
        <w:t xml:space="preserve"> ha approvato il rendiconto 2016</w:t>
      </w:r>
      <w:r>
        <w:rPr>
          <w:rFonts w:ascii="Arial" w:hAnsi="Arial" w:cs="Arial"/>
        </w:rPr>
        <w:t xml:space="preserve"> </w:t>
      </w:r>
      <w:r w:rsidR="00727B0C">
        <w:rPr>
          <w:rFonts w:ascii="Arial" w:hAnsi="Arial" w:cs="Arial"/>
        </w:rPr>
        <w:t xml:space="preserve">–verbale </w:t>
      </w:r>
      <w:r w:rsidR="00727B0C" w:rsidRPr="00727B0C">
        <w:rPr>
          <w:rFonts w:ascii="Arial" w:hAnsi="Arial" w:cs="Arial"/>
        </w:rPr>
        <w:t xml:space="preserve">11 </w:t>
      </w:r>
      <w:proofErr w:type="gramStart"/>
      <w:r w:rsidR="00727B0C" w:rsidRPr="00727B0C">
        <w:rPr>
          <w:rFonts w:ascii="Arial" w:hAnsi="Arial" w:cs="Arial"/>
        </w:rPr>
        <w:t>del  20</w:t>
      </w:r>
      <w:proofErr w:type="gramEnd"/>
      <w:r w:rsidR="00727B0C" w:rsidRPr="00727B0C">
        <w:rPr>
          <w:rFonts w:ascii="Arial" w:hAnsi="Arial" w:cs="Arial"/>
        </w:rPr>
        <w:t>/04/2017</w:t>
      </w:r>
      <w:r>
        <w:rPr>
          <w:rFonts w:ascii="Arial" w:hAnsi="Arial" w:cs="Arial"/>
        </w:rPr>
        <w:t>.</w:t>
      </w:r>
    </w:p>
    <w:p w:rsidR="00727B0C" w:rsidRDefault="00727B0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Dopo l’approvazione del rendiconto il Consiglio Comunale ha approvato le seguenti variazioni di bilancio:</w:t>
      </w:r>
    </w:p>
    <w:p w:rsidR="008372F2" w:rsidRDefault="003C38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Delibera consiglio comunale n. </w:t>
      </w:r>
      <w:r w:rsidR="0057096E">
        <w:rPr>
          <w:rFonts w:ascii="Arial" w:hAnsi="Arial" w:cs="Arial"/>
        </w:rPr>
        <w:t xml:space="preserve">29 </w:t>
      </w:r>
      <w:r>
        <w:rPr>
          <w:rFonts w:ascii="Arial" w:hAnsi="Arial" w:cs="Arial"/>
        </w:rPr>
        <w:t xml:space="preserve">del </w:t>
      </w:r>
      <w:r w:rsidR="0057096E">
        <w:rPr>
          <w:rFonts w:ascii="Arial" w:hAnsi="Arial" w:cs="Arial"/>
        </w:rPr>
        <w:t xml:space="preserve">5 giugno </w:t>
      </w:r>
      <w:r>
        <w:rPr>
          <w:rFonts w:ascii="Arial" w:hAnsi="Arial" w:cs="Arial"/>
        </w:rPr>
        <w:t>201</w:t>
      </w:r>
      <w:r w:rsidR="0057096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- </w:t>
      </w:r>
      <w:r w:rsidR="005B2D21">
        <w:rPr>
          <w:rFonts w:ascii="Arial" w:hAnsi="Arial" w:cs="Arial"/>
        </w:rPr>
        <w:t xml:space="preserve">parere </w:t>
      </w:r>
      <w:r>
        <w:rPr>
          <w:rFonts w:ascii="Arial" w:hAnsi="Arial" w:cs="Arial"/>
        </w:rPr>
        <w:t xml:space="preserve">n. </w:t>
      </w:r>
      <w:r w:rsidR="001C2CD2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</w:t>
      </w:r>
      <w:r w:rsidR="005B2D21">
        <w:rPr>
          <w:rFonts w:ascii="Arial" w:hAnsi="Arial" w:cs="Arial"/>
        </w:rPr>
        <w:t>del</w:t>
      </w:r>
      <w:r>
        <w:rPr>
          <w:rFonts w:ascii="Arial" w:hAnsi="Arial" w:cs="Arial"/>
        </w:rPr>
        <w:t xml:space="preserve"> </w:t>
      </w:r>
      <w:r w:rsidR="001C2CD2">
        <w:rPr>
          <w:rFonts w:ascii="Arial" w:hAnsi="Arial" w:cs="Arial"/>
        </w:rPr>
        <w:t>31 maggio 2017</w:t>
      </w:r>
      <w:r w:rsidR="005B2D21">
        <w:rPr>
          <w:rFonts w:ascii="Arial" w:hAnsi="Arial" w:cs="Arial"/>
        </w:rPr>
        <w:t>.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7096E" w:rsidRDefault="005B2D21" w:rsidP="0057096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Giunta ha altresì </w:t>
      </w:r>
      <w:r w:rsidR="003660A6">
        <w:rPr>
          <w:rFonts w:ascii="Arial" w:hAnsi="Arial" w:cs="Arial"/>
        </w:rPr>
        <w:t>effettuato</w:t>
      </w:r>
      <w:r>
        <w:rPr>
          <w:rFonts w:ascii="Arial" w:hAnsi="Arial" w:cs="Arial"/>
        </w:rPr>
        <w:t xml:space="preserve"> le seguenti variazioni che non sono di competenza del Consiglio:</w:t>
      </w:r>
    </w:p>
    <w:p w:rsidR="0057096E" w:rsidRPr="0057096E" w:rsidRDefault="0057096E" w:rsidP="0057096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7096E">
        <w:rPr>
          <w:rFonts w:ascii="Arial" w:hAnsi="Arial" w:cs="Arial"/>
        </w:rPr>
        <w:t xml:space="preserve">Delibera di Giunta comunale n. 30 del 30/03/2017 Riaccertamento ordinario dei residui attivi e passivi, alla variazione agli stanziamenti relativi al F.P.V. art. 3 comma 4 D. </w:t>
      </w:r>
      <w:proofErr w:type="spellStart"/>
      <w:r w:rsidRPr="0057096E">
        <w:rPr>
          <w:rFonts w:ascii="Arial" w:hAnsi="Arial" w:cs="Arial"/>
        </w:rPr>
        <w:t>Lgs</w:t>
      </w:r>
      <w:proofErr w:type="spellEnd"/>
      <w:r w:rsidRPr="0057096E">
        <w:rPr>
          <w:rFonts w:ascii="Arial" w:hAnsi="Arial" w:cs="Arial"/>
        </w:rPr>
        <w:t xml:space="preserve"> 118/2011 e alla relativa variazione di Bilancio 2017/2019;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data </w:t>
      </w:r>
      <w:r w:rsidR="001C2CD2">
        <w:rPr>
          <w:rFonts w:ascii="Arial" w:hAnsi="Arial" w:cs="Arial"/>
        </w:rPr>
        <w:t>14</w:t>
      </w:r>
      <w:r w:rsidR="005A4E75">
        <w:rPr>
          <w:rFonts w:ascii="Arial" w:hAnsi="Arial" w:cs="Arial"/>
        </w:rPr>
        <w:t xml:space="preserve"> luglio </w:t>
      </w:r>
      <w:r w:rsidR="007317E1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</w:t>
      </w:r>
      <w:r w:rsidR="003660A6">
        <w:rPr>
          <w:rFonts w:ascii="Arial" w:hAnsi="Arial" w:cs="Arial"/>
        </w:rPr>
        <w:t>è stata sottoposta</w:t>
      </w:r>
      <w:r w:rsidR="003C3884">
        <w:rPr>
          <w:rFonts w:ascii="Arial" w:hAnsi="Arial" w:cs="Arial"/>
        </w:rPr>
        <w:t xml:space="preserve"> al Collegio dei Revisori</w:t>
      </w:r>
      <w:r>
        <w:rPr>
          <w:rFonts w:ascii="Arial" w:hAnsi="Arial" w:cs="Arial"/>
        </w:rPr>
        <w:t xml:space="preserve">, per la successiva presentazione al Consiglio Comunale, nella prima seduta utile, la </w:t>
      </w:r>
      <w:r w:rsidR="003660A6">
        <w:rPr>
          <w:rFonts w:ascii="Arial" w:hAnsi="Arial" w:cs="Arial"/>
        </w:rPr>
        <w:t xml:space="preserve">proposta di deliberazione e la </w:t>
      </w:r>
      <w:r>
        <w:rPr>
          <w:rFonts w:ascii="Arial" w:hAnsi="Arial" w:cs="Arial"/>
        </w:rPr>
        <w:t>documentazione necessaria all’esame dell’argomento di cui all’oggetto.</w:t>
      </w:r>
    </w:p>
    <w:p w:rsidR="00FF76A5" w:rsidRDefault="00FF76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NORMATIVA DI RIFERIMENTO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L’articolo </w:t>
      </w:r>
      <w:r>
        <w:rPr>
          <w:rFonts w:ascii="Arial" w:hAnsi="Arial" w:cs="Arial"/>
          <w:b/>
        </w:rPr>
        <w:t>193 del TUEL</w:t>
      </w:r>
      <w:r>
        <w:rPr>
          <w:rFonts w:ascii="Arial" w:hAnsi="Arial" w:cs="Arial"/>
        </w:rPr>
        <w:t xml:space="preserve"> prevede che: 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“</w:t>
      </w:r>
      <w:r>
        <w:rPr>
          <w:rFonts w:ascii="Arial" w:hAnsi="Arial" w:cs="Arial"/>
          <w:i/>
        </w:rPr>
        <w:t>1. Gli enti locali rispettano durante la gestione e nelle variazioni di bilancio il pareggio finanziario e tutti gli equilibri stabiliti in bilancio per la copertura delle spese correnti e per il finanziamento degli investimenti, secondo le norme contabili recate dal presente testo unico, con particolare riferimento agli equilibri di competenza e di cassa di cui all'art. 162, comma 6.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2. Con periodicità stabilita dal regolamento di contabilità dell'ente locale, e comunque almeno una volta entro il </w:t>
      </w:r>
      <w:r>
        <w:rPr>
          <w:rFonts w:ascii="Arial" w:hAnsi="Arial" w:cs="Arial"/>
          <w:b/>
          <w:i/>
        </w:rPr>
        <w:t>31 luglio di ciascun anno</w:t>
      </w:r>
      <w:r>
        <w:rPr>
          <w:rFonts w:ascii="Arial" w:hAnsi="Arial" w:cs="Arial"/>
          <w:i/>
        </w:rPr>
        <w:t>, l'organo consiliare provvede con delibera a dare atto del permanere degli equilibri generali di bilancio o, in caso di accertamento negativo ad adottare, contestualmente: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a) le misure necessarie a ripristinare il pareggio qualora i dati della gestione finanziaria facciano prevedere un disavanzo, di gestione o di amministrazione, per squilibrio della gestione di competenza, di cassa ovvero della gestione dei residui;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b) i provvedimenti per il ripiano degli eventuali debiti di cui all'art. 194;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c) le iniziative necessarie ad adeguare il fondo crediti di dubbia esigibilità' accantonato nel risultato di amministrazione in caso di gravi squilibri riguardanti la gestione dei residui”.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  <w:r>
        <w:rPr>
          <w:rFonts w:ascii="Arial" w:hAnsi="Arial" w:cs="Arial"/>
        </w:rPr>
        <w:t xml:space="preserve">L’articolo </w:t>
      </w:r>
      <w:r>
        <w:rPr>
          <w:rFonts w:ascii="Arial" w:hAnsi="Arial" w:cs="Arial"/>
          <w:b/>
        </w:rPr>
        <w:t>175 comma 8</w:t>
      </w:r>
      <w:r>
        <w:rPr>
          <w:rFonts w:ascii="Arial" w:hAnsi="Arial" w:cs="Arial"/>
        </w:rPr>
        <w:t xml:space="preserve"> del TUEL prevede che “</w:t>
      </w:r>
      <w:r>
        <w:rPr>
          <w:rFonts w:ascii="Arial" w:hAnsi="Arial" w:cs="Arial"/>
          <w:i/>
        </w:rPr>
        <w:t>mediante la variazione di assestamento generale, deliberata dall'organo consiliare dell'ente entro il </w:t>
      </w:r>
      <w:r>
        <w:rPr>
          <w:rFonts w:ascii="Arial" w:hAnsi="Arial" w:cs="Arial"/>
          <w:b/>
          <w:i/>
        </w:rPr>
        <w:t>31 luglio di ciascun anno</w:t>
      </w:r>
      <w:r>
        <w:rPr>
          <w:rFonts w:ascii="Arial" w:hAnsi="Arial" w:cs="Arial"/>
          <w:i/>
        </w:rPr>
        <w:t>, si attua la verifica generale di tutte le voci di entrata e di uscita, compreso il fondo di riserva ed il fondo di cassa al fine di assicurare il mantenimento del pareggio di bilancio”</w:t>
      </w:r>
      <w:r>
        <w:rPr>
          <w:rFonts w:ascii="Arial" w:hAnsi="Arial" w:cs="Arial"/>
        </w:rPr>
        <w:t>.</w:t>
      </w:r>
      <w:r>
        <w:rPr>
          <w:rFonts w:ascii="BookAntiqua" w:hAnsi="BookAntiqua" w:cs="BookAntiqua"/>
        </w:rPr>
        <w:t xml:space="preserve"> </w:t>
      </w:r>
    </w:p>
    <w:p w:rsidR="00B04508" w:rsidRDefault="00B04508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B04508" w:rsidRDefault="003C38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Dato atto che ai sensi dell’art 175 comma 8 a seguito della variazione di assestamento generale in approvazione è necessario verificare </w:t>
      </w:r>
      <w:r w:rsidR="00B04508">
        <w:rPr>
          <w:rFonts w:ascii="Arial" w:hAnsi="Arial" w:cs="Arial"/>
        </w:rPr>
        <w:t xml:space="preserve">la salvaguardia degli equilibri di bilancio </w:t>
      </w:r>
      <w:r>
        <w:rPr>
          <w:rFonts w:ascii="Arial" w:hAnsi="Arial" w:cs="Arial"/>
        </w:rPr>
        <w:t>entro il</w:t>
      </w:r>
      <w:r w:rsidR="00B04508">
        <w:rPr>
          <w:rFonts w:ascii="Arial" w:hAnsi="Arial" w:cs="Arial"/>
        </w:rPr>
        <w:t xml:space="preserve"> termine del 31 luglio.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 fine di monitorare l’andamento completo della gestione mantenendo l’equilibrio economico finanziario, gli enti locali devono attestare: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il rispetto del principio del pareggio di bilancio;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il rispetto di tutti gli equilibri cui il bilancio è sottoposto;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la coerenza della gestione con gli obiettivi </w:t>
      </w:r>
      <w:r w:rsidR="00B04508">
        <w:rPr>
          <w:rFonts w:ascii="Arial" w:hAnsi="Arial" w:cs="Arial"/>
        </w:rPr>
        <w:t xml:space="preserve">di </w:t>
      </w:r>
      <w:r w:rsidR="003660A6">
        <w:rPr>
          <w:rFonts w:ascii="Arial" w:hAnsi="Arial" w:cs="Arial"/>
        </w:rPr>
        <w:t>finanza</w:t>
      </w:r>
      <w:r w:rsidR="00B04508">
        <w:rPr>
          <w:rFonts w:ascii="Arial" w:hAnsi="Arial" w:cs="Arial"/>
        </w:rPr>
        <w:t xml:space="preserve"> pubblica</w:t>
      </w:r>
      <w:r>
        <w:rPr>
          <w:rFonts w:ascii="Arial" w:hAnsi="Arial" w:cs="Arial"/>
        </w:rPr>
        <w:t>;</w:t>
      </w:r>
    </w:p>
    <w:p w:rsidR="00B04508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la </w:t>
      </w:r>
      <w:r w:rsidR="00B04508">
        <w:rPr>
          <w:rFonts w:ascii="Arial" w:hAnsi="Arial" w:cs="Arial"/>
        </w:rPr>
        <w:t>congruità</w:t>
      </w:r>
      <w:r>
        <w:rPr>
          <w:rFonts w:ascii="Arial" w:hAnsi="Arial" w:cs="Arial"/>
        </w:rPr>
        <w:t xml:space="preserve"> della quantificazione del </w:t>
      </w:r>
      <w:r w:rsidR="00B04508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ondo </w:t>
      </w:r>
      <w:r w:rsidR="00B04508">
        <w:rPr>
          <w:rFonts w:ascii="Arial" w:hAnsi="Arial" w:cs="Arial"/>
        </w:rPr>
        <w:t>c</w:t>
      </w:r>
      <w:r>
        <w:rPr>
          <w:rFonts w:ascii="Arial" w:hAnsi="Arial" w:cs="Arial"/>
        </w:rPr>
        <w:t>rediti di dubbia esigibilità rispetto sia alla normativa vigente sia all’andamento delle entrate soggette a svalutazione</w:t>
      </w:r>
      <w:r w:rsidR="00B04508">
        <w:rPr>
          <w:rFonts w:ascii="Arial" w:hAnsi="Arial" w:cs="Arial"/>
        </w:rPr>
        <w:t>;</w:t>
      </w:r>
    </w:p>
    <w:p w:rsidR="00B04508" w:rsidRDefault="00B045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la congruità del fondo rischi passività potenziali e dell’accantonamento per perdite di organismi </w:t>
      </w:r>
      <w:r w:rsidR="003660A6">
        <w:rPr>
          <w:rFonts w:ascii="Arial" w:hAnsi="Arial" w:cs="Arial"/>
        </w:rPr>
        <w:t>partecipati.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Nel caso di accertamento negativo, gli enti devono adottare contestualmente: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le misure necessarie al ripristino del pareggio, qualora i dati della gestione finanziaria facciano prevedere un disavanzo, di gestione o di amministrazione, per squilibrio della gestione di competenza, della gestione dei residui ed anche, in virtù del nuovo bilancio armonizzato, della gestione di cassa;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 provvedimenti di ripiano di eventuali debiti fuori bilancio di cui all’art. 194 del TUEL;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</w:t>
      </w:r>
      <w:r w:rsidR="00B04508">
        <w:rPr>
          <w:rFonts w:ascii="Arial" w:hAnsi="Arial" w:cs="Arial"/>
        </w:rPr>
        <w:t>’adeguamento del</w:t>
      </w:r>
      <w:r>
        <w:rPr>
          <w:rFonts w:ascii="Arial" w:hAnsi="Arial" w:cs="Arial"/>
        </w:rPr>
        <w:t xml:space="preserve"> fondo crediti di dubbia esigibilità accantonato nel risultato di amministrazione, nel caso di gravi squilibri riguardanti la gestione dei residui, o iscritto nel </w:t>
      </w:r>
      <w:r w:rsidR="00B0450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ilancio di </w:t>
      </w:r>
      <w:r w:rsidR="00B04508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revisione, in relazione a eventuali variazioni di </w:t>
      </w:r>
      <w:r w:rsidR="00B04508">
        <w:rPr>
          <w:rFonts w:ascii="Arial" w:hAnsi="Arial" w:cs="Arial"/>
        </w:rPr>
        <w:t>b</w:t>
      </w:r>
      <w:r>
        <w:rPr>
          <w:rFonts w:ascii="Arial" w:hAnsi="Arial" w:cs="Arial"/>
        </w:rPr>
        <w:t>ilanc</w:t>
      </w:r>
      <w:r w:rsidR="00B04508">
        <w:rPr>
          <w:rFonts w:ascii="Arial" w:hAnsi="Arial" w:cs="Arial"/>
        </w:rPr>
        <w:t>io che si rendessero necessarie;</w:t>
      </w:r>
    </w:p>
    <w:p w:rsidR="00B04508" w:rsidRDefault="00B045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le misure per integrare il fondo rischi passività potenziali e l’accantonamento per perdite di organismi partecipati.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L'operazione di ricognizione sottoposta all'analisi del Consiglio Comunale ha pertanto una triplice finalità: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Verificare</w:t>
      </w:r>
      <w:r>
        <w:rPr>
          <w:rFonts w:ascii="Arial" w:hAnsi="Arial" w:cs="Arial"/>
        </w:rPr>
        <w:t>, prendendo in considerazione ogni aspetto della gestione finanziaria, il permanere degli equilibri generali di bilancio;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Intervenire</w:t>
      </w:r>
      <w:r>
        <w:rPr>
          <w:rFonts w:ascii="Arial" w:hAnsi="Arial" w:cs="Arial"/>
        </w:rPr>
        <w:t>, qualora gli equilibri di bilancio siano intaccati, deliberando le misure idonee a ripristinare la situazione di pareggio;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Monitorare</w:t>
      </w:r>
      <w:r>
        <w:rPr>
          <w:rFonts w:ascii="Arial" w:hAnsi="Arial" w:cs="Arial"/>
        </w:rPr>
        <w:t>, tramite l'analisi della situazione contabile attuale, lo stato di attuazione dei programmi generali intrapresi dall'Ente.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5B2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ANALISI DELLA DOCUMENTAZIONE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Collegio, procede all’esame della</w:t>
      </w:r>
      <w:r w:rsidR="00BC044C">
        <w:rPr>
          <w:rFonts w:ascii="Arial" w:hAnsi="Arial" w:cs="Arial"/>
        </w:rPr>
        <w:t xml:space="preserve"> documentazione relativa alla</w:t>
      </w:r>
      <w:r>
        <w:rPr>
          <w:rFonts w:ascii="Arial" w:hAnsi="Arial" w:cs="Arial"/>
        </w:rPr>
        <w:t xml:space="preserve"> salvaguardia degli equilibri di bilancio, effettuata dall’Ente, come indicato anche dal principio della programmazione allegato 4/1 al </w:t>
      </w:r>
      <w:proofErr w:type="spellStart"/>
      <w:r>
        <w:rPr>
          <w:rFonts w:ascii="Arial" w:hAnsi="Arial" w:cs="Arial"/>
        </w:rPr>
        <w:t>D.Lgs.</w:t>
      </w:r>
      <w:proofErr w:type="spellEnd"/>
      <w:r w:rsidR="00B045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118/2011, punto 4.2 lettera g);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</w:t>
      </w:r>
      <w:r w:rsidRPr="003B7286">
        <w:rPr>
          <w:rFonts w:ascii="Arial" w:hAnsi="Arial" w:cs="Arial"/>
        </w:rPr>
        <w:t xml:space="preserve">nota </w:t>
      </w:r>
      <w:r w:rsidR="000D51AF" w:rsidRPr="003B7286">
        <w:rPr>
          <w:rFonts w:ascii="Arial" w:hAnsi="Arial" w:cs="Arial"/>
        </w:rPr>
        <w:t>pr</w:t>
      </w:r>
      <w:r w:rsidR="0047030C" w:rsidRPr="003B7286">
        <w:rPr>
          <w:rFonts w:ascii="Arial" w:hAnsi="Arial" w:cs="Arial"/>
        </w:rPr>
        <w:t>o</w:t>
      </w:r>
      <w:r w:rsidR="003B7286" w:rsidRPr="003B7286">
        <w:rPr>
          <w:rFonts w:ascii="Arial" w:hAnsi="Arial" w:cs="Arial"/>
        </w:rPr>
        <w:t>t.</w:t>
      </w:r>
      <w:r w:rsidR="003B7286">
        <w:rPr>
          <w:rFonts w:ascii="Arial" w:hAnsi="Arial" w:cs="Arial"/>
        </w:rPr>
        <w:t xml:space="preserve">9293 </w:t>
      </w:r>
      <w:r w:rsidR="000D51AF" w:rsidRPr="003B7286">
        <w:rPr>
          <w:rFonts w:ascii="Arial" w:hAnsi="Arial" w:cs="Arial"/>
        </w:rPr>
        <w:t>del</w:t>
      </w:r>
      <w:r w:rsidR="003B7286">
        <w:rPr>
          <w:rFonts w:ascii="Arial" w:hAnsi="Arial" w:cs="Arial"/>
        </w:rPr>
        <w:t xml:space="preserve"> 29 giugno 2017</w:t>
      </w:r>
      <w:r w:rsidR="000D51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 Responsabile del Servizio Finanziario ha richiesto ai Responsabili dei Servizi le seguenti informazioni: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l’esistenza di eventuali debiti fuori bilancio;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l’esistenza di dati, fatti o situazioni che possano far prevedere l’ipotesi di un disavanzo, di gestione o di amministrazione, per squilibrio della gestione di competenza, di cassa ovvero della gestione dei residui;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la segnalazione di eventuali nuove e sopravvenute esigenze e di nuove/maggiori risorse.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Dagli atti a corredo dell’operazione emerge che non sono stati segnalati debiti fuori bilancio da ripianare.</w:t>
      </w:r>
    </w:p>
    <w:p w:rsidR="008372F2" w:rsidRDefault="000D51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B2D21">
        <w:rPr>
          <w:rFonts w:ascii="Arial" w:hAnsi="Arial" w:cs="Arial"/>
        </w:rPr>
        <w:t xml:space="preserve"> Responsabili dei Servizi non hanno segnalato, l’esistenza di situazioni che possono generare squilibrio di parte corrente e/o capitale, di competenza e/o nella gestione dei residui.</w:t>
      </w:r>
    </w:p>
    <w:p w:rsidR="008372F2" w:rsidRDefault="000D51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="005B2D21">
        <w:rPr>
          <w:rFonts w:ascii="Arial" w:hAnsi="Arial" w:cs="Arial"/>
        </w:rPr>
        <w:t xml:space="preserve">Responsabili di servizio in sede di analisi generale degli stanziamenti di bilancio hanno segnalato la necessità di apportare variazioni al </w:t>
      </w:r>
      <w:r w:rsidR="00E106F4">
        <w:rPr>
          <w:rFonts w:ascii="Arial" w:hAnsi="Arial" w:cs="Arial"/>
        </w:rPr>
        <w:t>b</w:t>
      </w:r>
      <w:r w:rsidR="005B2D21">
        <w:rPr>
          <w:rFonts w:ascii="Arial" w:hAnsi="Arial" w:cs="Arial"/>
        </w:rPr>
        <w:t xml:space="preserve">ilancio di </w:t>
      </w:r>
      <w:r w:rsidR="00E106F4">
        <w:rPr>
          <w:rFonts w:ascii="Arial" w:hAnsi="Arial" w:cs="Arial"/>
        </w:rPr>
        <w:t>p</w:t>
      </w:r>
      <w:r w:rsidR="005B2D21">
        <w:rPr>
          <w:rFonts w:ascii="Arial" w:hAnsi="Arial" w:cs="Arial"/>
        </w:rPr>
        <w:t xml:space="preserve">revisione per adeguarlo a nuove esigenze intervenute, anche in relazione alla rilevazione di nuove/maggiori entrate </w:t>
      </w:r>
      <w:r w:rsidR="005B2D21" w:rsidRPr="00E106F4">
        <w:rPr>
          <w:rFonts w:ascii="Arial" w:hAnsi="Arial" w:cs="Arial"/>
        </w:rPr>
        <w:t>e per la necessità di regolarizzare le transazioni non monetarie.</w:t>
      </w:r>
    </w:p>
    <w:p w:rsidR="00C30B38" w:rsidRDefault="00F112E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Tutti gli organismi partecipati hanno approvato i propri b</w:t>
      </w:r>
      <w:r w:rsidR="00D62535">
        <w:rPr>
          <w:rFonts w:ascii="Arial" w:hAnsi="Arial" w:cs="Arial"/>
        </w:rPr>
        <w:t>ilanci d’esercizio al 31/12/2016</w:t>
      </w:r>
      <w:r w:rsidR="003B7286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dal loro risultato </w:t>
      </w:r>
      <w:r w:rsidR="000D51AF">
        <w:rPr>
          <w:rFonts w:ascii="Arial" w:hAnsi="Arial" w:cs="Arial"/>
        </w:rPr>
        <w:t>non emerge</w:t>
      </w:r>
      <w:r>
        <w:rPr>
          <w:rFonts w:ascii="Arial" w:hAnsi="Arial" w:cs="Arial"/>
        </w:rPr>
        <w:t xml:space="preserve"> la necessità di effettuare o integrare gli accantonamenti richiesti dai commi 552 e seguenti dell’art. 1 della legge 147/2013</w:t>
      </w:r>
      <w:r w:rsidR="003B7286">
        <w:rPr>
          <w:rFonts w:ascii="Arial" w:hAnsi="Arial" w:cs="Arial"/>
        </w:rPr>
        <w:t xml:space="preserve">, tranne la Rio </w:t>
      </w:r>
      <w:proofErr w:type="spellStart"/>
      <w:r w:rsidR="003B7286">
        <w:rPr>
          <w:rFonts w:ascii="Arial" w:hAnsi="Arial" w:cs="Arial"/>
        </w:rPr>
        <w:t>Riazzone</w:t>
      </w:r>
      <w:proofErr w:type="spellEnd"/>
      <w:r w:rsidR="003B7286">
        <w:rPr>
          <w:rFonts w:ascii="Arial" w:hAnsi="Arial" w:cs="Arial"/>
        </w:rPr>
        <w:t xml:space="preserve"> SPA che ha fissato la data di approvazione al 2</w:t>
      </w:r>
      <w:r w:rsidR="007317E1">
        <w:rPr>
          <w:rFonts w:ascii="Arial" w:hAnsi="Arial" w:cs="Arial"/>
        </w:rPr>
        <w:t>4 luglio 2017 ma che dai dati del progetto di bilancio</w:t>
      </w:r>
      <w:r w:rsidR="003B7286">
        <w:rPr>
          <w:rFonts w:ascii="Arial" w:hAnsi="Arial" w:cs="Arial"/>
        </w:rPr>
        <w:t xml:space="preserve"> trasmessi non risultano sofferenze da ripianare</w:t>
      </w:r>
      <w:r>
        <w:rPr>
          <w:rFonts w:ascii="Arial" w:hAnsi="Arial" w:cs="Arial"/>
        </w:rPr>
        <w:t>.</w:t>
      </w:r>
    </w:p>
    <w:p w:rsidR="008372F2" w:rsidRDefault="000D51A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Il Collegio</w:t>
      </w:r>
      <w:r w:rsidR="003660A6">
        <w:rPr>
          <w:rFonts w:ascii="Arial" w:hAnsi="Arial" w:cs="Arial"/>
        </w:rPr>
        <w:t>, pertanto, prende atto che non sussiste la necessità di operare interventi correttivi al fine della salvaguardia degli equilibri di bilancio, in quanto gli equilibri del bilancio sono garantiti dall’andamento generale dell’entrata e della spesa nella gestione di competenza e nella gestione in conto residui.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1308" w:rsidRDefault="005B2D21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E1308">
        <w:rPr>
          <w:rFonts w:ascii="Arial" w:hAnsi="Arial" w:cs="Arial"/>
        </w:rPr>
        <w:t>In merito alla congruità degli accantonamenti del fondo crediti di dubbia esigibilità nel bilancio di previsione e</w:t>
      </w:r>
      <w:r w:rsidR="007E1308">
        <w:rPr>
          <w:rFonts w:ascii="Arial" w:hAnsi="Arial" w:cs="Arial"/>
        </w:rPr>
        <w:t xml:space="preserve"> nell’avanzo di amministrazione:</w:t>
      </w:r>
      <w:r w:rsidRPr="007E1308">
        <w:rPr>
          <w:rFonts w:ascii="Arial" w:hAnsi="Arial" w:cs="Arial"/>
        </w:rPr>
        <w:t xml:space="preserve"> </w:t>
      </w:r>
    </w:p>
    <w:p w:rsidR="007E1308" w:rsidRDefault="007E1308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1308" w:rsidRPr="007E1308" w:rsidRDefault="007E1308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E1308">
        <w:rPr>
          <w:rFonts w:ascii="Arial" w:hAnsi="Arial" w:cs="Arial"/>
        </w:rPr>
        <w:t>VISTA l’istruttoria compiuta dal Settore Finanziario, in collaborazione con tutti i servizi dell’Ente, in merito alla congruità degli accantonamenti nel bilancio di previsione e nell’avanzo di amministrazione, è emersa la seguente situazione:</w:t>
      </w:r>
    </w:p>
    <w:p w:rsidR="007E1308" w:rsidRPr="007E1308" w:rsidRDefault="007E1308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E1308">
        <w:rPr>
          <w:rFonts w:ascii="Arial" w:hAnsi="Arial" w:cs="Arial"/>
        </w:rPr>
        <w:t>- fondo crediti dubbia esigibilità accantonato in bilancio:</w:t>
      </w:r>
      <w:r w:rsidR="00D62535">
        <w:rPr>
          <w:rFonts w:ascii="Arial" w:hAnsi="Arial" w:cs="Arial"/>
        </w:rPr>
        <w:t xml:space="preserve"> </w:t>
      </w:r>
      <w:r w:rsidRPr="007E1308">
        <w:rPr>
          <w:rFonts w:ascii="Arial" w:hAnsi="Arial" w:cs="Arial"/>
        </w:rPr>
        <w:t>congruo;</w:t>
      </w:r>
    </w:p>
    <w:p w:rsidR="007E1308" w:rsidRPr="007E1308" w:rsidRDefault="007E1308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E1308">
        <w:rPr>
          <w:rFonts w:ascii="Arial" w:hAnsi="Arial" w:cs="Arial"/>
        </w:rPr>
        <w:t>-fondo crediti dubbia esigibilità accantonato nel risultato di amministrazione: congruo;</w:t>
      </w:r>
    </w:p>
    <w:p w:rsidR="007E1308" w:rsidRPr="007E1308" w:rsidRDefault="007E1308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1308" w:rsidRPr="007E1308" w:rsidRDefault="00D62535" w:rsidP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non</w:t>
      </w:r>
      <w:proofErr w:type="gramEnd"/>
      <w:r>
        <w:rPr>
          <w:rFonts w:ascii="Arial" w:hAnsi="Arial" w:cs="Arial"/>
        </w:rPr>
        <w:t xml:space="preserve"> </w:t>
      </w:r>
      <w:r w:rsidR="000026DC">
        <w:rPr>
          <w:rFonts w:ascii="Arial" w:hAnsi="Arial" w:cs="Arial"/>
        </w:rPr>
        <w:t xml:space="preserve">si rileva </w:t>
      </w:r>
      <w:r w:rsidR="007E1308" w:rsidRPr="007E1308">
        <w:rPr>
          <w:rFonts w:ascii="Arial" w:hAnsi="Arial" w:cs="Arial"/>
        </w:rPr>
        <w:t>pertanto la necessità di integrare il fondo crediti dubbia esigibilità di parte corrente accantonato in bilancio</w:t>
      </w:r>
      <w:r w:rsidR="007E1308" w:rsidRPr="00A10E5F">
        <w:rPr>
          <w:rFonts w:ascii="Arial" w:hAnsi="Arial" w:cs="Arial"/>
        </w:rPr>
        <w:t xml:space="preserve">: </w:t>
      </w:r>
      <w:r w:rsidRPr="00A10E5F">
        <w:rPr>
          <w:rFonts w:ascii="Arial" w:hAnsi="Arial" w:cs="Arial"/>
        </w:rPr>
        <w:t xml:space="preserve"> </w:t>
      </w:r>
      <w:r w:rsidR="007E1308" w:rsidRPr="00A10E5F">
        <w:rPr>
          <w:rFonts w:ascii="Arial" w:hAnsi="Arial" w:cs="Arial"/>
        </w:rPr>
        <w:t>€</w:t>
      </w:r>
      <w:r w:rsidR="00A10E5F">
        <w:rPr>
          <w:rFonts w:ascii="Arial" w:hAnsi="Arial" w:cs="Arial"/>
        </w:rPr>
        <w:t xml:space="preserve"> 328.415,71</w:t>
      </w:r>
      <w:r w:rsidR="007E1308" w:rsidRPr="00A10E5F">
        <w:rPr>
          <w:rFonts w:ascii="Arial" w:hAnsi="Arial" w:cs="Arial"/>
        </w:rPr>
        <w:t>;</w:t>
      </w:r>
    </w:p>
    <w:p w:rsidR="007E1308" w:rsidRPr="007E1308" w:rsidRDefault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7E1308" w:rsidRDefault="007E13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merito alla congruità degli accantonamenti al fondo rischi </w:t>
      </w:r>
      <w:r w:rsidR="000026DC">
        <w:rPr>
          <w:rFonts w:ascii="Arial" w:hAnsi="Arial" w:cs="Arial"/>
        </w:rPr>
        <w:t xml:space="preserve">cause pendenti </w:t>
      </w:r>
      <w:r>
        <w:rPr>
          <w:rFonts w:ascii="Arial" w:hAnsi="Arial" w:cs="Arial"/>
        </w:rPr>
        <w:t>il Collegio rileva quanto segue:</w:t>
      </w:r>
    </w:p>
    <w:p w:rsidR="00DF4ECC" w:rsidRPr="00DF4ECC" w:rsidRDefault="00DF4ECC" w:rsidP="00DF4EC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10E5F" w:rsidRDefault="00DF4ECC" w:rsidP="00DF4EC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F4ECC">
        <w:rPr>
          <w:rFonts w:ascii="Arial" w:hAnsi="Arial" w:cs="Arial"/>
        </w:rPr>
        <w:t xml:space="preserve">Al momento attuale </w:t>
      </w:r>
      <w:r w:rsidR="00A10E5F">
        <w:rPr>
          <w:rFonts w:ascii="Arial" w:hAnsi="Arial" w:cs="Arial"/>
        </w:rPr>
        <w:t xml:space="preserve">è stato accantonato un apposito fondo spese potenziali in conto capitale di € 113.831,86 corrispondenti alla fideiussione escussa alla finanziaria </w:t>
      </w:r>
      <w:proofErr w:type="spellStart"/>
      <w:r w:rsidR="00A10E5F">
        <w:rPr>
          <w:rFonts w:ascii="Arial" w:hAnsi="Arial" w:cs="Arial"/>
        </w:rPr>
        <w:t>Atradius</w:t>
      </w:r>
      <w:proofErr w:type="spellEnd"/>
      <w:r w:rsidR="00A10E5F">
        <w:rPr>
          <w:rFonts w:ascii="Arial" w:hAnsi="Arial" w:cs="Arial"/>
        </w:rPr>
        <w:t xml:space="preserve"> per la realizzazione di opere di urbanizzazione del PP 28 per le quali è in corso un cont</w:t>
      </w:r>
      <w:r w:rsidR="003D7E36">
        <w:rPr>
          <w:rFonts w:ascii="Arial" w:hAnsi="Arial" w:cs="Arial"/>
        </w:rPr>
        <w:t>e</w:t>
      </w:r>
      <w:r w:rsidR="00A10E5F">
        <w:rPr>
          <w:rFonts w:ascii="Arial" w:hAnsi="Arial" w:cs="Arial"/>
        </w:rPr>
        <w:t>nzioso con la finanziaria stessa</w:t>
      </w:r>
      <w:r w:rsidR="003D7E36">
        <w:rPr>
          <w:rFonts w:ascii="Arial" w:hAnsi="Arial" w:cs="Arial"/>
        </w:rPr>
        <w:t>;</w:t>
      </w:r>
    </w:p>
    <w:p w:rsidR="00A10E5F" w:rsidRDefault="00A10E5F" w:rsidP="00DF4EC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E106F4" w:rsidRDefault="00E106F4" w:rsidP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E106F4" w:rsidRDefault="00E106F4" w:rsidP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merito alla congruità degli accantonamenti al fondo a copertura di perdite di org</w:t>
      </w:r>
      <w:r w:rsidR="00317F78">
        <w:rPr>
          <w:rFonts w:ascii="Arial" w:hAnsi="Arial" w:cs="Arial"/>
        </w:rPr>
        <w:t xml:space="preserve">anismi partecipati il Collegio </w:t>
      </w:r>
      <w:r>
        <w:rPr>
          <w:rFonts w:ascii="Arial" w:hAnsi="Arial" w:cs="Arial"/>
        </w:rPr>
        <w:t>rileva quanto segue:</w:t>
      </w:r>
    </w:p>
    <w:p w:rsidR="00E106F4" w:rsidRDefault="00317F78" w:rsidP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Non</w:t>
      </w:r>
      <w:r w:rsidR="00DF4ECC">
        <w:rPr>
          <w:rFonts w:ascii="Arial" w:hAnsi="Arial" w:cs="Arial"/>
        </w:rPr>
        <w:t xml:space="preserve"> sussistono allo stato attuale perdite di esercizio da ripianare.</w:t>
      </w:r>
    </w:p>
    <w:p w:rsidR="00E106F4" w:rsidRDefault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Collegio procede ora all’analisi delle variazioni di bilancio proposte al Consiglio Comunale, riepilogate, </w:t>
      </w:r>
      <w:r>
        <w:rPr>
          <w:rFonts w:ascii="Arial" w:hAnsi="Arial" w:cs="Arial"/>
          <w:b/>
          <w:u w:val="single"/>
        </w:rPr>
        <w:t>per titoli</w:t>
      </w:r>
      <w:r>
        <w:rPr>
          <w:rFonts w:ascii="Arial" w:hAnsi="Arial" w:cs="Arial"/>
        </w:rPr>
        <w:t>, come segue:</w:t>
      </w:r>
    </w:p>
    <w:p w:rsidR="008372F2" w:rsidRDefault="005B2D21">
      <w:pPr>
        <w:rPr>
          <w:rFonts w:ascii="BookAntiqua" w:hAnsi="BookAntiqua" w:cs="BookAntiqua"/>
        </w:rPr>
      </w:pPr>
      <w:r>
        <w:rPr>
          <w:rFonts w:ascii="BookAntiqua" w:hAnsi="BookAntiqua" w:cs="BookAntiqua"/>
        </w:rPr>
        <w:br w:type="page"/>
      </w:r>
    </w:p>
    <w:bookmarkStart w:id="0" w:name="_MON_1525351926"/>
    <w:bookmarkEnd w:id="0"/>
    <w:p w:rsidR="008372F2" w:rsidRDefault="004F4D87">
      <w:pPr>
        <w:ind w:right="-53"/>
      </w:pPr>
      <w:r>
        <w:object w:dxaOrig="9550" w:dyaOrig="128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1pt;height:643.6pt" o:ole="">
            <v:imagedata r:id="rId7" o:title=""/>
          </v:shape>
          <o:OLEObject Type="Embed" ProgID="Excel.Sheet.8" ShapeID="_x0000_i1025" DrawAspect="Content" ObjectID="_1561967664" r:id="rId8"/>
        </w:object>
      </w:r>
    </w:p>
    <w:p w:rsidR="008372F2" w:rsidRDefault="005B2D21">
      <w:pPr>
        <w:rPr>
          <w:rFonts w:ascii="BookAntiqua" w:hAnsi="BookAntiqua" w:cs="BookAntiqua"/>
        </w:rPr>
      </w:pPr>
      <w:r>
        <w:rPr>
          <w:rFonts w:ascii="BookAntiqua" w:hAnsi="BookAntiqua" w:cs="BookAntiqua"/>
        </w:rPr>
        <w:br w:type="page"/>
      </w:r>
    </w:p>
    <w:bookmarkStart w:id="1" w:name="_MON_1525351919"/>
    <w:bookmarkEnd w:id="1"/>
    <w:p w:rsidR="008372F2" w:rsidRDefault="00406C6D">
      <w:pPr>
        <w:ind w:right="-53"/>
      </w:pPr>
      <w:r>
        <w:object w:dxaOrig="9500" w:dyaOrig="11500">
          <v:shape id="_x0000_i1026" type="#_x0000_t75" style="width:474.55pt;height:529.65pt" o:ole="">
            <v:imagedata r:id="rId9" o:title=""/>
          </v:shape>
          <o:OLEObject Type="Embed" ProgID="Excel.Sheet.8" ShapeID="_x0000_i1026" DrawAspect="Content" ObjectID="_1561967665" r:id="rId10"/>
        </w:object>
      </w:r>
    </w:p>
    <w:p w:rsidR="008372F2" w:rsidRDefault="005B2D21">
      <w:pPr>
        <w:rPr>
          <w:rFonts w:ascii="BookAntiqua" w:hAnsi="BookAntiqua" w:cs="BookAntiqua"/>
        </w:rPr>
      </w:pPr>
      <w:r>
        <w:rPr>
          <w:rFonts w:ascii="BookAntiqua" w:hAnsi="BookAntiqua" w:cs="BookAntiqua"/>
        </w:rPr>
        <w:br w:type="page"/>
      </w:r>
    </w:p>
    <w:bookmarkStart w:id="2" w:name="_MON_1525352978"/>
    <w:bookmarkEnd w:id="2"/>
    <w:bookmarkStart w:id="3" w:name="_MON_1530022286"/>
    <w:bookmarkEnd w:id="3"/>
    <w:p w:rsidR="008372F2" w:rsidRDefault="00406C6D" w:rsidP="000377DC">
      <w:r>
        <w:object w:dxaOrig="11330" w:dyaOrig="12720">
          <v:shape id="_x0000_i1027" type="#_x0000_t75" style="width:475.2pt;height:636.75pt" o:ole="">
            <v:imagedata r:id="rId11" o:title=""/>
          </v:shape>
          <o:OLEObject Type="Embed" ProgID="Excel.Sheet.12" ShapeID="_x0000_i1027" DrawAspect="Content" ObjectID="_1561967666" r:id="rId12"/>
        </w:object>
      </w:r>
    </w:p>
    <w:p w:rsidR="008372F2" w:rsidRDefault="005B2D21">
      <w:pPr>
        <w:rPr>
          <w:rFonts w:ascii="BookAntiqua" w:hAnsi="BookAntiqua" w:cs="BookAntiqua"/>
        </w:rPr>
      </w:pPr>
      <w:r>
        <w:rPr>
          <w:rFonts w:ascii="BookAntiqua" w:hAnsi="BookAntiqua" w:cs="BookAntiqua"/>
        </w:rPr>
        <w:br w:type="page"/>
      </w:r>
    </w:p>
    <w:bookmarkStart w:id="4" w:name="_MON_1525353006"/>
    <w:bookmarkEnd w:id="4"/>
    <w:p w:rsidR="008372F2" w:rsidRDefault="00406C6D">
      <w:pPr>
        <w:ind w:right="-53"/>
      </w:pPr>
      <w:r>
        <w:object w:dxaOrig="9550" w:dyaOrig="12857">
          <v:shape id="_x0000_i1028" type="#_x0000_t75" style="width:477.1pt;height:643.6pt" o:ole="">
            <v:imagedata r:id="rId13" o:title=""/>
          </v:shape>
          <o:OLEObject Type="Embed" ProgID="Excel.Sheet.8" ShapeID="_x0000_i1028" DrawAspect="Content" ObjectID="_1561967667" r:id="rId14"/>
        </w:objec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Collegio attesta che le variazioni proposte sono:</w:t>
      </w:r>
    </w:p>
    <w:p w:rsidR="00E106F4" w:rsidRDefault="00E106F4" w:rsidP="00E106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Attendibili sulla base dell’esigibilità delle entrate previste</w:t>
      </w:r>
    </w:p>
    <w:p w:rsidR="00E106F4" w:rsidRDefault="00E106F4" w:rsidP="00E106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Congrue sulla base delle spese da impegnare e della loro esigibilità</w:t>
      </w:r>
    </w:p>
    <w:p w:rsidR="00E106F4" w:rsidRPr="00E106F4" w:rsidRDefault="00E106F4" w:rsidP="00E106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Coerenti in relazione al </w:t>
      </w:r>
      <w:proofErr w:type="spellStart"/>
      <w:r>
        <w:rPr>
          <w:rFonts w:ascii="Arial" w:hAnsi="Arial" w:cs="Arial"/>
        </w:rPr>
        <w:t>Dup</w:t>
      </w:r>
      <w:proofErr w:type="spellEnd"/>
      <w:r>
        <w:rPr>
          <w:rFonts w:ascii="Arial" w:hAnsi="Arial" w:cs="Arial"/>
        </w:rPr>
        <w:t xml:space="preserve"> e agli obiettivi di finanza pubblica</w:t>
      </w:r>
    </w:p>
    <w:p w:rsidR="008372F2" w:rsidRDefault="005B2D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72F2" w:rsidRDefault="005B2D21">
      <w:pPr>
        <w:rPr>
          <w:rFonts w:ascii="Arial" w:hAnsi="Arial" w:cs="Arial"/>
        </w:rPr>
      </w:pPr>
      <w:r w:rsidRPr="00E106F4">
        <w:rPr>
          <w:rFonts w:ascii="Arial" w:hAnsi="Arial" w:cs="Arial"/>
        </w:rPr>
        <w:lastRenderedPageBreak/>
        <w:t xml:space="preserve">Il Collegio/Revisore ha verificato che con la variazione apportata in bilancio gli equilibri richiesti dal comma 6 dell’art.162 del </w:t>
      </w:r>
      <w:proofErr w:type="spellStart"/>
      <w:r w:rsidRPr="00E106F4">
        <w:rPr>
          <w:rFonts w:ascii="Arial" w:hAnsi="Arial" w:cs="Arial"/>
        </w:rPr>
        <w:t>Tuel</w:t>
      </w:r>
      <w:proofErr w:type="spellEnd"/>
      <w:r w:rsidRPr="00E106F4">
        <w:rPr>
          <w:rFonts w:ascii="Arial" w:hAnsi="Arial" w:cs="Arial"/>
        </w:rPr>
        <w:t xml:space="preserve"> sono così assicurati:</w:t>
      </w:r>
    </w:p>
    <w:p w:rsidR="008372F2" w:rsidRDefault="000F6003">
      <w:bookmarkStart w:id="5" w:name="_MON_1497441630"/>
      <w:bookmarkEnd w:id="5"/>
      <w:r>
        <w:pict>
          <v:shape id="_x0000_i1029" type="#_x0000_t75" style="width:470.8pt;height:524.05pt">
            <v:imagedata r:id="rId15" o:title=""/>
          </v:shape>
        </w:pict>
      </w: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bookmarkStart w:id="6" w:name="_MON_1497441881"/>
    <w:bookmarkEnd w:id="6"/>
    <w:p w:rsidR="008372F2" w:rsidRDefault="001A4D52">
      <w:pPr>
        <w:rPr>
          <w:rFonts w:ascii="Arial" w:hAnsi="Arial" w:cs="Arial"/>
          <w:b/>
        </w:rPr>
      </w:pPr>
      <w:r w:rsidRPr="008372F2">
        <w:rPr>
          <w:rFonts w:ascii="Arial" w:hAnsi="Arial" w:cs="Arial"/>
          <w:b/>
        </w:rPr>
        <w:object w:dxaOrig="9815" w:dyaOrig="11558">
          <v:shape id="_x0000_i1030" type="#_x0000_t75" style="width:486.45pt;height:579.15pt" o:ole="">
            <v:imagedata r:id="rId16" o:title=""/>
          </v:shape>
          <o:OLEObject Type="Embed" ProgID="Excel.Sheet.8" ShapeID="_x0000_i1030" DrawAspect="Content" ObjectID="_1561967668" r:id="rId17"/>
        </w:object>
      </w: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p w:rsidR="008372F2" w:rsidRDefault="005B2D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bookmarkStart w:id="7" w:name="_MON_1525354508"/>
    <w:bookmarkEnd w:id="7"/>
    <w:p w:rsidR="008372F2" w:rsidRDefault="00B02AFD">
      <w:r>
        <w:object w:dxaOrig="9721" w:dyaOrig="10458">
          <v:shape id="_x0000_i1031" type="#_x0000_t75" style="width:470.8pt;height:524.05pt" o:ole="">
            <v:imagedata r:id="rId18" o:title=""/>
          </v:shape>
          <o:OLEObject Type="Embed" ProgID="Excel.Sheet.8" ShapeID="_x0000_i1031" DrawAspect="Content" ObjectID="_1561967669" r:id="rId19"/>
        </w:object>
      </w: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p w:rsidR="008372F2" w:rsidRDefault="002321B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bookmarkStart w:id="8" w:name="_MON_1525354518"/>
      <w:bookmarkEnd w:id="8"/>
      <w:r>
        <w:rPr>
          <w:rFonts w:ascii="Arial" w:hAnsi="Arial" w:cs="Arial"/>
          <w:b/>
        </w:rPr>
        <w:lastRenderedPageBreak/>
        <w:pict>
          <v:shape id="_x0000_i1032" type="#_x0000_t75" style="width:486.45pt;height:579.15pt">
            <v:imagedata r:id="rId20" o:title=""/>
          </v:shape>
        </w:pic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8372F2" w:rsidRDefault="002321B0">
      <w:bookmarkStart w:id="9" w:name="_MON_1525354525"/>
      <w:bookmarkEnd w:id="9"/>
      <w:r>
        <w:lastRenderedPageBreak/>
        <w:pict>
          <v:shape id="_x0000_i1033" type="#_x0000_t75" style="width:470.8pt;height:487.1pt">
            <v:imagedata r:id="rId21" o:title=""/>
          </v:shape>
        </w:pict>
      </w: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p w:rsidR="008372F2" w:rsidRDefault="008372F2">
      <w:pPr>
        <w:rPr>
          <w:rFonts w:ascii="Arial" w:hAnsi="Arial" w:cs="Arial"/>
        </w:rPr>
      </w:pPr>
    </w:p>
    <w:p w:rsidR="008372F2" w:rsidRDefault="002321B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bookmarkStart w:id="10" w:name="_MON_1525354535"/>
      <w:bookmarkEnd w:id="10"/>
      <w:r>
        <w:rPr>
          <w:rFonts w:ascii="Arial" w:hAnsi="Arial" w:cs="Arial"/>
          <w:b/>
        </w:rPr>
        <w:lastRenderedPageBreak/>
        <w:pict>
          <v:shape id="_x0000_i1034" type="#_x0000_t75" style="width:486.45pt;height:579.15pt">
            <v:imagedata r:id="rId22" o:title=""/>
          </v:shape>
        </w:pict>
      </w:r>
    </w:p>
    <w:p w:rsidR="0046149D" w:rsidRDefault="0046149D">
      <w:pPr>
        <w:rPr>
          <w:rFonts w:ascii="Arial" w:hAnsi="Arial" w:cs="Arial"/>
        </w:rPr>
      </w:pPr>
    </w:p>
    <w:p w:rsidR="008372F2" w:rsidRDefault="005B2D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06F4" w:rsidRDefault="00E106F4" w:rsidP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Il Collegio, prende atto che </w:t>
      </w:r>
      <w:r w:rsidR="00A617DF">
        <w:rPr>
          <w:rFonts w:ascii="Arial" w:hAnsi="Arial" w:cs="Arial"/>
        </w:rPr>
        <w:t>con le variazioni proposte è assicurato l’obiettivo di pareggio finanziario di competenza cosi riassunto:</w:t>
      </w:r>
    </w:p>
    <w:p w:rsidR="00C72FFA" w:rsidRDefault="00C72FFA" w:rsidP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bookmarkStart w:id="11" w:name="_MON_1525795940"/>
    <w:bookmarkEnd w:id="11"/>
    <w:p w:rsidR="00A617DF" w:rsidRDefault="003243A2" w:rsidP="00E106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object w:dxaOrig="10054" w:dyaOrig="4378">
          <v:shape id="_x0000_i1035" type="#_x0000_t75" style="width:503.35pt;height:219.15pt" o:ole="">
            <v:imagedata r:id="rId23" o:title=""/>
          </v:shape>
          <o:OLEObject Type="Embed" ProgID="Excel.Sheet.12" ShapeID="_x0000_i1035" DrawAspect="Content" ObjectID="_1561967670" r:id="rId24"/>
        </w:object>
      </w:r>
    </w:p>
    <w:p w:rsidR="00E106F4" w:rsidRDefault="003243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Tra le entrate finali dell’ente rilevanti ai fini del rispetto dei vincoli di finanza pubblica per l’anno 2017 è considerato anche il contributo IMU/TASI quantificate per il comune di Castellarano in € 420.082,27.</w:t>
      </w:r>
    </w:p>
    <w:p w:rsidR="003243A2" w:rsidRPr="003243A2" w:rsidRDefault="003243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saldo da conseguire non è pertanto pari a 0 ma aumentato di un importo pari al contributo ricevuto comma 437 art 1 della L232/2016, ampiamente rispettato come risulta dalla tabelle precedente.</w:t>
      </w:r>
    </w:p>
    <w:p w:rsidR="003243A2" w:rsidRDefault="003243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6149D" w:rsidRDefault="0046149D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46149D" w:rsidRDefault="0046149D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46149D" w:rsidRDefault="0046149D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5B2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CONCLUSIONE</w:t>
      </w: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46149D" w:rsidRDefault="0046149D">
      <w:pPr>
        <w:autoSpaceDE w:val="0"/>
        <w:autoSpaceDN w:val="0"/>
        <w:adjustRightInd w:val="0"/>
        <w:spacing w:after="0" w:line="360" w:lineRule="auto"/>
        <w:jc w:val="both"/>
        <w:rPr>
          <w:rFonts w:ascii="BookAntiqua" w:hAnsi="BookAntiqua" w:cs="BookAntiqua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Tutto ciò premesso, visto il parere favorevole del Responsabile del Servizio Finanziario</w:t>
      </w:r>
      <w:r w:rsidR="00317F78">
        <w:rPr>
          <w:rFonts w:ascii="Arial" w:hAnsi="Arial" w:cs="Arial"/>
        </w:rPr>
        <w:t xml:space="preserve"> espresso in data </w:t>
      </w:r>
      <w:r w:rsidR="007317E1">
        <w:rPr>
          <w:rFonts w:ascii="Arial" w:hAnsi="Arial" w:cs="Arial"/>
        </w:rPr>
        <w:t>13/07/2017</w:t>
      </w:r>
      <w:r>
        <w:rPr>
          <w:rFonts w:ascii="Arial" w:hAnsi="Arial" w:cs="Arial"/>
        </w:rPr>
        <w:t xml:space="preserve">, il Collegio 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verificato il permanere degli equilibri di bilancio, sia in conto competenza che in conto residui;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verificata l’inesistenza di altri debiti fuori bilancio, non riconosciuti o non finanziati alla data del </w:t>
      </w:r>
      <w:r w:rsidR="00C72FFA">
        <w:rPr>
          <w:rFonts w:ascii="Arial" w:hAnsi="Arial" w:cs="Arial"/>
        </w:rPr>
        <w:t>14 luglio 2016</w:t>
      </w:r>
      <w:r>
        <w:rPr>
          <w:rFonts w:ascii="Arial" w:hAnsi="Arial" w:cs="Arial"/>
        </w:rPr>
        <w:t>;</w:t>
      </w: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verificata la coerenza sia delle previsioni che della gestione relativamente agli obiettivi di finanza </w:t>
      </w:r>
      <w:r w:rsidR="003F7259">
        <w:rPr>
          <w:rFonts w:ascii="Arial" w:hAnsi="Arial" w:cs="Arial"/>
        </w:rPr>
        <w:t>pubblica per gli anni</w:t>
      </w:r>
      <w:r>
        <w:rPr>
          <w:rFonts w:ascii="Arial" w:hAnsi="Arial" w:cs="Arial"/>
        </w:rPr>
        <w:t xml:space="preserve"> 2016/2018;</w:t>
      </w:r>
    </w:p>
    <w:p w:rsidR="003F7259" w:rsidRDefault="007317E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verificata la 3° variazione al bilancio di </w:t>
      </w:r>
      <w:proofErr w:type="spellStart"/>
      <w:r>
        <w:rPr>
          <w:rFonts w:ascii="Arial" w:hAnsi="Arial" w:cs="Arial"/>
        </w:rPr>
        <w:t>previsone</w:t>
      </w:r>
      <w:proofErr w:type="spellEnd"/>
      <w:r>
        <w:rPr>
          <w:rFonts w:ascii="Arial" w:hAnsi="Arial" w:cs="Arial"/>
        </w:rPr>
        <w:t xml:space="preserve"> finanziario 2017/2019;</w:t>
      </w:r>
    </w:p>
    <w:p w:rsidR="007317E1" w:rsidRDefault="007317E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317F7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Esprime</w:t>
      </w:r>
      <w:r w:rsidR="003F7259">
        <w:rPr>
          <w:rFonts w:ascii="Arial" w:hAnsi="Arial" w:cs="Arial"/>
        </w:rPr>
        <w:t xml:space="preserve"> parere favorevole sulla proposta di deliberazione relativa a</w:t>
      </w:r>
      <w:r w:rsidR="005B2D21">
        <w:rPr>
          <w:rFonts w:ascii="Arial" w:hAnsi="Arial" w:cs="Arial"/>
        </w:rPr>
        <w:t xml:space="preserve">gli equilibri di bilancio, sia in conto competenza che in conto residui ed esprime il parere favorevole alla variazione di </w:t>
      </w:r>
      <w:r w:rsidR="003F7259">
        <w:rPr>
          <w:rFonts w:ascii="Arial" w:hAnsi="Arial" w:cs="Arial"/>
        </w:rPr>
        <w:t>b</w:t>
      </w:r>
      <w:r w:rsidR="005B2D21">
        <w:rPr>
          <w:rFonts w:ascii="Arial" w:hAnsi="Arial" w:cs="Arial"/>
        </w:rPr>
        <w:t xml:space="preserve">ilancio di </w:t>
      </w:r>
      <w:r w:rsidR="003F7259">
        <w:rPr>
          <w:rFonts w:ascii="Arial" w:hAnsi="Arial" w:cs="Arial"/>
        </w:rPr>
        <w:t>p</w:t>
      </w:r>
      <w:r w:rsidR="005B2D21">
        <w:rPr>
          <w:rFonts w:ascii="Arial" w:hAnsi="Arial" w:cs="Arial"/>
        </w:rPr>
        <w:t>revisione proposta.</w:t>
      </w:r>
    </w:p>
    <w:p w:rsidR="003F7259" w:rsidRDefault="003F72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5B2D2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Letto, confermato, sottoscritto.</w:t>
      </w: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FB154A" w:rsidRDefault="007317E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Castellarano </w:t>
      </w:r>
      <w:r w:rsidR="005B2D21">
        <w:rPr>
          <w:rFonts w:ascii="Arial" w:hAnsi="Arial" w:cs="Arial"/>
        </w:rPr>
        <w:t>Lì</w:t>
      </w:r>
      <w:r>
        <w:rPr>
          <w:rFonts w:ascii="Arial" w:hAnsi="Arial" w:cs="Arial"/>
        </w:rPr>
        <w:t xml:space="preserve"> 19/07/2017</w:t>
      </w:r>
      <w:bookmarkStart w:id="12" w:name="_GoBack"/>
      <w:bookmarkEnd w:id="12"/>
    </w:p>
    <w:p w:rsidR="00FB154A" w:rsidRDefault="00FB15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Fontana Dott. </w:t>
      </w:r>
      <w:proofErr w:type="spellStart"/>
      <w:r>
        <w:rPr>
          <w:rFonts w:ascii="Arial" w:hAnsi="Arial" w:cs="Arial"/>
        </w:rPr>
        <w:t>Giuiano</w:t>
      </w:r>
      <w:proofErr w:type="spellEnd"/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Bisignani</w:t>
      </w:r>
      <w:proofErr w:type="spellEnd"/>
      <w:r>
        <w:rPr>
          <w:rFonts w:ascii="Arial" w:hAnsi="Arial" w:cs="Arial"/>
        </w:rPr>
        <w:t xml:space="preserve"> Dott. Luca</w:t>
      </w: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Montesi</w:t>
      </w:r>
      <w:proofErr w:type="spellEnd"/>
      <w:r>
        <w:rPr>
          <w:rFonts w:ascii="Arial" w:hAnsi="Arial" w:cs="Arial"/>
        </w:rPr>
        <w:t xml:space="preserve"> Dott. Libero</w:t>
      </w: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C72FFA" w:rsidRDefault="00C72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8372F2" w:rsidRDefault="008372F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sectPr w:rsidR="008372F2" w:rsidSect="008372F2">
      <w:footerReference w:type="default" r:id="rId2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003" w:rsidRDefault="000F6003">
      <w:pPr>
        <w:spacing w:after="0" w:line="240" w:lineRule="auto"/>
      </w:pPr>
      <w:r>
        <w:separator/>
      </w:r>
    </w:p>
  </w:endnote>
  <w:endnote w:type="continuationSeparator" w:id="0">
    <w:p w:rsidR="000F6003" w:rsidRDefault="000F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4329"/>
      <w:docPartObj>
        <w:docPartGallery w:val="Page Numbers (Bottom of Page)"/>
        <w:docPartUnique/>
      </w:docPartObj>
    </w:sdtPr>
    <w:sdtEndPr/>
    <w:sdtContent>
      <w:p w:rsidR="008372F2" w:rsidRDefault="008372F2">
        <w:pPr>
          <w:pStyle w:val="Pidipagina"/>
          <w:jc w:val="right"/>
        </w:pPr>
        <w:r>
          <w:fldChar w:fldCharType="begin"/>
        </w:r>
        <w:r w:rsidR="005B2D21">
          <w:instrText xml:space="preserve"> PAGE   \* MERGEFORMAT </w:instrText>
        </w:r>
        <w:r>
          <w:fldChar w:fldCharType="separate"/>
        </w:r>
        <w:r w:rsidR="007317E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372F2" w:rsidRDefault="008372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003" w:rsidRDefault="000F6003">
      <w:pPr>
        <w:spacing w:after="0" w:line="240" w:lineRule="auto"/>
      </w:pPr>
      <w:r>
        <w:separator/>
      </w:r>
    </w:p>
  </w:footnote>
  <w:footnote w:type="continuationSeparator" w:id="0">
    <w:p w:rsidR="000F6003" w:rsidRDefault="000F6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16443"/>
    <w:multiLevelType w:val="hybridMultilevel"/>
    <w:tmpl w:val="4CBC318C"/>
    <w:lvl w:ilvl="0" w:tplc="F9E4483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2F2"/>
    <w:rsid w:val="000026DC"/>
    <w:rsid w:val="000377DC"/>
    <w:rsid w:val="000D51AF"/>
    <w:rsid w:val="000F6003"/>
    <w:rsid w:val="00157BE8"/>
    <w:rsid w:val="00164E86"/>
    <w:rsid w:val="001A4D52"/>
    <w:rsid w:val="001C2CD2"/>
    <w:rsid w:val="001C7D3A"/>
    <w:rsid w:val="002321B0"/>
    <w:rsid w:val="002F04E3"/>
    <w:rsid w:val="00317F78"/>
    <w:rsid w:val="003243A2"/>
    <w:rsid w:val="003308DA"/>
    <w:rsid w:val="003320FF"/>
    <w:rsid w:val="003660A6"/>
    <w:rsid w:val="003913A2"/>
    <w:rsid w:val="003A0C3A"/>
    <w:rsid w:val="003B7286"/>
    <w:rsid w:val="003C3884"/>
    <w:rsid w:val="003D2739"/>
    <w:rsid w:val="003D7E36"/>
    <w:rsid w:val="003F7259"/>
    <w:rsid w:val="00406C6D"/>
    <w:rsid w:val="00443BCA"/>
    <w:rsid w:val="00456C27"/>
    <w:rsid w:val="0046149D"/>
    <w:rsid w:val="0046257F"/>
    <w:rsid w:val="0047030C"/>
    <w:rsid w:val="00481A7B"/>
    <w:rsid w:val="004B738C"/>
    <w:rsid w:val="004E11E8"/>
    <w:rsid w:val="004F4D87"/>
    <w:rsid w:val="0057096E"/>
    <w:rsid w:val="005A4E75"/>
    <w:rsid w:val="005B2D21"/>
    <w:rsid w:val="005D63C8"/>
    <w:rsid w:val="005D6516"/>
    <w:rsid w:val="006110E4"/>
    <w:rsid w:val="006A0DEB"/>
    <w:rsid w:val="006D150D"/>
    <w:rsid w:val="006F4978"/>
    <w:rsid w:val="00727B0C"/>
    <w:rsid w:val="007317E1"/>
    <w:rsid w:val="00790436"/>
    <w:rsid w:val="007E1308"/>
    <w:rsid w:val="008372F2"/>
    <w:rsid w:val="00876623"/>
    <w:rsid w:val="00893920"/>
    <w:rsid w:val="008977AC"/>
    <w:rsid w:val="00911A39"/>
    <w:rsid w:val="00926215"/>
    <w:rsid w:val="00984100"/>
    <w:rsid w:val="009A35E1"/>
    <w:rsid w:val="009D4B66"/>
    <w:rsid w:val="009F27F3"/>
    <w:rsid w:val="00A0715F"/>
    <w:rsid w:val="00A10E5F"/>
    <w:rsid w:val="00A46B99"/>
    <w:rsid w:val="00A56D28"/>
    <w:rsid w:val="00A617DF"/>
    <w:rsid w:val="00B02AFD"/>
    <w:rsid w:val="00B04508"/>
    <w:rsid w:val="00B30891"/>
    <w:rsid w:val="00B77159"/>
    <w:rsid w:val="00B81B83"/>
    <w:rsid w:val="00B94C77"/>
    <w:rsid w:val="00BC044C"/>
    <w:rsid w:val="00C25B95"/>
    <w:rsid w:val="00C30B38"/>
    <w:rsid w:val="00C72FFA"/>
    <w:rsid w:val="00D109EC"/>
    <w:rsid w:val="00D241D9"/>
    <w:rsid w:val="00D35EC6"/>
    <w:rsid w:val="00D62535"/>
    <w:rsid w:val="00D94D97"/>
    <w:rsid w:val="00DA1DFC"/>
    <w:rsid w:val="00DA491F"/>
    <w:rsid w:val="00DE3DBF"/>
    <w:rsid w:val="00DF4ECC"/>
    <w:rsid w:val="00E106F4"/>
    <w:rsid w:val="00ED0244"/>
    <w:rsid w:val="00F112E3"/>
    <w:rsid w:val="00F31CC0"/>
    <w:rsid w:val="00FB154A"/>
    <w:rsid w:val="00FE2A67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45862-4266-4683-8490-AE991C6F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E106F4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7E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1.emf"/><Relationship Id="rId12" Type="http://schemas.openxmlformats.org/officeDocument/2006/relationships/package" Target="embeddings/Microsoft_Excel_Worksheet1.xlsx"/><Relationship Id="rId17" Type="http://schemas.openxmlformats.org/officeDocument/2006/relationships/oleObject" Target="embeddings/Microsoft_Excel_97-2003_Worksheet4.xls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package" Target="embeddings/Microsoft_Excel_Worksheet2.xlsx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11.emf"/><Relationship Id="rId10" Type="http://schemas.openxmlformats.org/officeDocument/2006/relationships/oleObject" Target="embeddings/Microsoft_Excel_97-2003_Worksheet2.xls"/><Relationship Id="rId19" Type="http://schemas.openxmlformats.org/officeDocument/2006/relationships/oleObject" Target="embeddings/Microsoft_Excel_97-2003_Worksheet5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Excel_97-2003_Worksheet3.xls"/><Relationship Id="rId22" Type="http://schemas.openxmlformats.org/officeDocument/2006/relationships/image" Target="media/image10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17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Agostino Toni</cp:lastModifiedBy>
  <cp:revision>13</cp:revision>
  <cp:lastPrinted>2017-07-13T09:13:00Z</cp:lastPrinted>
  <dcterms:created xsi:type="dcterms:W3CDTF">2017-07-11T08:08:00Z</dcterms:created>
  <dcterms:modified xsi:type="dcterms:W3CDTF">2017-07-19T09:08:00Z</dcterms:modified>
</cp:coreProperties>
</file>